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Default ContentType="image/jpeg" Extension="jpe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9"/>
        <w:adjustRightInd w:val="0"/>
        <w:snapToGrid w:val="0"/>
        <w:spacing w:before="0" w:beforeAutospacing="0" w:after="0" w:afterAutospacing="0" w:line="360" w:lineRule="auto"/>
        <w:ind w:firstLine="450" w:firstLineChars="150"/>
        <w:jc w:val="both"/>
        <w:rPr>
          <w:rFonts w:ascii="仿宋_GB2312" w:hAnsi="Verdana,ˎ̥" w:eastAsia="仿宋_GB2312"/>
          <w:sz w:val="30"/>
          <w:szCs w:val="30"/>
        </w:rPr>
      </w:pPr>
    </w:p>
    <w:p>
      <w:pPr>
        <w:rPr>
          <w:rFonts w:ascii="黑体" w:hAnsi="华文中宋" w:eastAsia="黑体"/>
          <w:sz w:val="30"/>
          <w:szCs w:val="30"/>
        </w:rPr>
      </w:pPr>
      <w:r>
        <w:rPr>
          <w:rFonts w:hint="eastAsia" w:ascii="黑体" w:hAnsi="华文中宋" w:eastAsia="黑体"/>
          <w:sz w:val="30"/>
          <w:szCs w:val="30"/>
        </w:rPr>
        <w:t>附件2</w:t>
      </w:r>
    </w:p>
    <w:p>
      <w:pPr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农机推广鉴定获证产品有关检测信息</w:t>
      </w:r>
      <w:bookmarkStart w:id="0" w:name="_GoBack"/>
      <w:bookmarkEnd w:id="0"/>
    </w:p>
    <w:p>
      <w:pPr>
        <w:jc w:val="center"/>
        <w:rPr>
          <w:rFonts w:ascii="宋体" w:hAnsi="宋体"/>
          <w:sz w:val="28"/>
        </w:rPr>
      </w:pPr>
    </w:p>
    <w:p>
      <w:pPr>
        <w:snapToGrid w:val="0"/>
        <w:spacing w:afterLines="50"/>
        <w:jc w:val="left"/>
        <w:outlineLvl w:val="0"/>
        <w:rPr>
          <w:b/>
          <w:sz w:val="30"/>
        </w:rPr>
      </w:pPr>
      <w:r>
        <w:rPr>
          <w:rFonts w:hint="eastAsia"/>
          <w:b/>
          <w:sz w:val="30"/>
        </w:rPr>
        <w:t>1.产品照片及企业信息</w:t>
      </w:r>
    </w:p>
    <w:p>
      <w:pPr>
        <w:jc w:val="center"/>
        <w:rPr>
          <w:rFonts w:ascii="宋体" w:hAnsi="宋体"/>
          <w:sz w:val="28"/>
        </w:rPr>
      </w:pPr>
      <w:r>
        <w:rPr>
          <w:rFonts w:ascii="宋体" w:hAnsi="宋体" w:eastAsia="宋体" w:cs="Times New Roman"/>
          <w:kern w:val="2"/>
          <w:sz w:val="28"/>
          <w:szCs w:val="24"/>
          <w:lang w:val="en-US" w:eastAsia="zh-CN" w:bidi="ar-SA"/>
        </w:rPr>
        <w:pict>
          <v:shape id="Text Box 10" o:spid="_x0000_s1026" type="#_x0000_t202" style="position:absolute;left:0;margin-left:52.1pt;margin-top:8.4pt;height:231.55pt;width:340.15pt;rotation:0f;z-index:251658240;" o:ole="f" fillcolor="#FFFFFF" filled="t" o:preferrelative="t" stroked="t" coordorigin="0,0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r>
                    <w:rPr>
                      <w:rFonts w:ascii="Times New Roman" w:hAnsi="宋体" w:eastAsia="宋体" w:cs="Times New Roman"/>
                      <w:kern w:val="2"/>
                      <w:sz w:val="28"/>
                      <w:szCs w:val="28"/>
                      <w:lang w:val="en-US" w:eastAsia="zh-CN" w:bidi="ar-SA"/>
                    </w:rPr>
                    <w:pict>
                      <v:shape id="Picture 1" o:spid="_x0000_s1027" type="#_x0000_t75" style="height:221.25pt;width:324.75pt;rotation:0f;" o:ole="f" fillcolor="#FFFFFF" filled="f" o:preferrelative="t" stroked="f" coordorigin="0,0" coordsize="21600,21600">
                        <v:fill on="f" color2="#FFFFFF" focus="0%"/>
                        <v:imagedata gain="65536f" blacklevel="0f" gamma="0" o:title="DSCN6293_副本" r:id="rId7"/>
                        <o:lock v:ext="edit" position="f" selection="f" grouping="f" rotation="f" cropping="f" text="f" aspectratio="t"/>
                        <w10:wrap type="none"/>
                        <w10:anchorlock/>
                      </v:shape>
                    </w:pict>
                  </w:r>
                </w:p>
              </w:txbxContent>
            </v:textbox>
          </v:shape>
        </w:pict>
      </w:r>
    </w:p>
    <w:p>
      <w:pPr>
        <w:jc w:val="center"/>
        <w:rPr>
          <w:rFonts w:ascii="宋体" w:hAnsi="宋体"/>
          <w:sz w:val="28"/>
        </w:rPr>
      </w:pPr>
    </w:p>
    <w:p>
      <w:pPr>
        <w:jc w:val="center"/>
        <w:rPr>
          <w:rFonts w:ascii="宋体" w:hAnsi="宋体"/>
          <w:sz w:val="28"/>
        </w:rPr>
      </w:pPr>
    </w:p>
    <w:p>
      <w:pPr>
        <w:jc w:val="center"/>
        <w:rPr>
          <w:rFonts w:ascii="宋体" w:hAnsi="宋体"/>
          <w:sz w:val="28"/>
        </w:rPr>
      </w:pPr>
    </w:p>
    <w:p>
      <w:pPr>
        <w:jc w:val="center"/>
        <w:rPr>
          <w:rFonts w:ascii="宋体" w:hAnsi="宋体"/>
          <w:sz w:val="28"/>
        </w:rPr>
      </w:pPr>
    </w:p>
    <w:p>
      <w:pPr>
        <w:jc w:val="center"/>
        <w:rPr>
          <w:rFonts w:ascii="宋体" w:hAnsi="宋体"/>
          <w:sz w:val="28"/>
        </w:rPr>
      </w:pPr>
    </w:p>
    <w:p>
      <w:pPr>
        <w:jc w:val="center"/>
        <w:rPr>
          <w:rFonts w:ascii="宋体" w:hAnsi="宋体"/>
          <w:sz w:val="28"/>
        </w:rPr>
      </w:pPr>
    </w:p>
    <w:p>
      <w:pPr>
        <w:tabs>
          <w:tab w:val="left" w:pos="720"/>
        </w:tabs>
        <w:ind w:left="360"/>
        <w:jc w:val="center"/>
        <w:rPr>
          <w:rFonts w:ascii="宋体" w:hAnsi="宋体"/>
          <w:bCs/>
          <w:sz w:val="28"/>
          <w:u w:val="single"/>
        </w:rPr>
      </w:pPr>
    </w:p>
    <w:p>
      <w:pPr>
        <w:tabs>
          <w:tab w:val="left" w:pos="720"/>
        </w:tabs>
        <w:ind w:left="360"/>
        <w:jc w:val="center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u w:val="single"/>
        </w:rPr>
        <w:t xml:space="preserve">  </w:t>
      </w:r>
      <w:r>
        <w:rPr>
          <w:rFonts w:hint="eastAsia" w:hAnsi="宋体"/>
          <w:sz w:val="28"/>
          <w:u w:val="single"/>
        </w:rPr>
        <w:t>2BDP-600A</w:t>
      </w:r>
      <w:r>
        <w:rPr>
          <w:rFonts w:hint="eastAsia" w:ascii="宋体" w:hAnsi="宋体"/>
          <w:bCs/>
          <w:sz w:val="28"/>
        </w:rPr>
        <w:t>型</w:t>
      </w:r>
      <w:r>
        <w:rPr>
          <w:rFonts w:hint="eastAsia" w:hAnsi="宋体"/>
          <w:sz w:val="28"/>
          <w:u w:val="single"/>
        </w:rPr>
        <w:t>水稻盘育苗播种机</w:t>
      </w:r>
    </w:p>
    <w:p>
      <w:pPr>
        <w:rPr>
          <w:rFonts w:ascii="宋体" w:hAnsi="宋体"/>
          <w:sz w:val="28"/>
        </w:rPr>
      </w:pPr>
    </w:p>
    <w:p>
      <w:pPr>
        <w:pStyle w:val="6"/>
        <w:spacing w:line="360" w:lineRule="auto"/>
        <w:jc w:val="both"/>
        <w:outlineLvl w:val="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企业名称：营口村田农业机械有限公司</w:t>
      </w:r>
    </w:p>
    <w:p>
      <w:pPr>
        <w:pStyle w:val="4"/>
        <w:spacing w:line="360" w:lineRule="auto"/>
        <w:rPr>
          <w:rFonts w:hAnsi="宋体" w:cs="Times New Roman"/>
          <w:sz w:val="28"/>
          <w:szCs w:val="28"/>
        </w:rPr>
      </w:pPr>
      <w:r>
        <w:rPr>
          <w:rFonts w:hint="eastAsia" w:hAnsi="宋体"/>
          <w:sz w:val="28"/>
          <w:szCs w:val="28"/>
        </w:rPr>
        <w:t>地    址：营口市西市区智胜街西57号</w:t>
      </w:r>
    </w:p>
    <w:p>
      <w:pPr>
        <w:pStyle w:val="4"/>
        <w:spacing w:line="360" w:lineRule="auto"/>
        <w:rPr>
          <w:rFonts w:hAnsi="宋体"/>
          <w:sz w:val="28"/>
          <w:szCs w:val="28"/>
        </w:rPr>
      </w:pPr>
      <w:r>
        <w:rPr>
          <w:rFonts w:hint="eastAsia" w:hAnsi="宋体"/>
          <w:sz w:val="28"/>
          <w:szCs w:val="28"/>
        </w:rPr>
        <w:t>邮政编码：115004</w:t>
      </w:r>
    </w:p>
    <w:p>
      <w:pPr>
        <w:pStyle w:val="4"/>
        <w:spacing w:line="360" w:lineRule="auto"/>
        <w:rPr>
          <w:rFonts w:hAnsi="宋体"/>
          <w:sz w:val="28"/>
          <w:szCs w:val="28"/>
        </w:rPr>
      </w:pPr>
      <w:r>
        <w:rPr>
          <w:rFonts w:hint="eastAsia" w:hAnsi="宋体"/>
          <w:sz w:val="28"/>
          <w:szCs w:val="28"/>
        </w:rPr>
        <w:t>电    话：0417-2150118</w:t>
      </w:r>
    </w:p>
    <w:p>
      <w:pPr>
        <w:pStyle w:val="4"/>
        <w:spacing w:line="360" w:lineRule="auto"/>
        <w:rPr>
          <w:rFonts w:hAnsi="宋体"/>
          <w:sz w:val="28"/>
          <w:szCs w:val="28"/>
        </w:rPr>
      </w:pPr>
      <w:r>
        <w:rPr>
          <w:rFonts w:hint="eastAsia" w:hAnsi="宋体"/>
          <w:sz w:val="28"/>
          <w:szCs w:val="28"/>
        </w:rPr>
        <w:t>传　　真：0417-2150118</w:t>
      </w:r>
    </w:p>
    <w:p>
      <w:pPr>
        <w:pStyle w:val="4"/>
        <w:spacing w:line="360" w:lineRule="auto"/>
        <w:rPr>
          <w:rFonts w:hAnsi="宋体"/>
          <w:sz w:val="28"/>
          <w:szCs w:val="28"/>
        </w:rPr>
      </w:pPr>
      <w:r>
        <w:rPr>
          <w:rFonts w:hint="eastAsia" w:hAnsi="宋体"/>
          <w:sz w:val="28"/>
          <w:szCs w:val="28"/>
        </w:rPr>
        <w:t>联 系 人：朱琳</w:t>
      </w:r>
    </w:p>
    <w:p>
      <w:pPr>
        <w:adjustRightInd w:val="0"/>
        <w:snapToGrid w:val="0"/>
        <w:jc w:val="left"/>
        <w:rPr>
          <w:rFonts w:ascii="宋体" w:hAnsi="宋体"/>
          <w:szCs w:val="21"/>
        </w:rPr>
      </w:pPr>
    </w:p>
    <w:p>
      <w:pPr>
        <w:adjustRightInd w:val="0"/>
        <w:snapToGrid w:val="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br w:type="page"/>
      </w:r>
    </w:p>
    <w:p>
      <w:pPr>
        <w:snapToGrid w:val="0"/>
        <w:spacing w:afterLines="50"/>
        <w:jc w:val="left"/>
        <w:outlineLvl w:val="0"/>
        <w:rPr>
          <w:b/>
          <w:sz w:val="30"/>
        </w:rPr>
      </w:pPr>
      <w:r>
        <w:rPr>
          <w:rFonts w:hint="eastAsia"/>
          <w:b/>
          <w:sz w:val="30"/>
        </w:rPr>
        <w:t>2.主要技术规格</w:t>
      </w:r>
    </w:p>
    <w:tbl>
      <w:tblPr>
        <w:tblStyle w:val="13"/>
        <w:tblW w:w="86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817"/>
        <w:gridCol w:w="1091"/>
        <w:gridCol w:w="1801"/>
        <w:gridCol w:w="1077"/>
        <w:gridCol w:w="3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47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28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项目名称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设计值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72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28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型号、名称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2BDP-600A、水稻盘育苗播种机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92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28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作业状态整机外形尺寸(长×宽×高)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mm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7350×530×1000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53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28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机具质量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kg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1" w:hRule="atLeast"/>
        </w:trPr>
        <w:tc>
          <w:tcPr>
            <w:tcW w:w="8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0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铺土</w:t>
            </w: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铺土器型式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传输皮带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铺土箱容积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L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40" w:hRule="atLeast"/>
        </w:trPr>
        <w:tc>
          <w:tcPr>
            <w:tcW w:w="8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10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播种</w:t>
            </w: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排种器型式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外槽轮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5" w:hRule="atLeast"/>
        </w:trPr>
        <w:tc>
          <w:tcPr>
            <w:tcW w:w="8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播种箱容积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L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72" w:hRule="atLeast"/>
        </w:trPr>
        <w:tc>
          <w:tcPr>
            <w:tcW w:w="8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最大播盘量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g/盘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4" w:hRule="atLeast"/>
        </w:trPr>
        <w:tc>
          <w:tcPr>
            <w:tcW w:w="8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最小播盘量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g/盘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53" w:hRule="atLeast"/>
        </w:trPr>
        <w:tc>
          <w:tcPr>
            <w:tcW w:w="8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10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覆土箱</w:t>
            </w: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覆土箱型式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传输皮带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</w:trPr>
        <w:tc>
          <w:tcPr>
            <w:tcW w:w="8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覆土箱容积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L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</w:p>
        </w:tc>
        <w:tc>
          <w:tcPr>
            <w:tcW w:w="10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输送</w:t>
            </w: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输送传动型式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链条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40" w:hRule="atLeast"/>
        </w:trPr>
        <w:tc>
          <w:tcPr>
            <w:tcW w:w="8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输送速度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m/s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5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</w:t>
            </w:r>
          </w:p>
        </w:tc>
        <w:tc>
          <w:tcPr>
            <w:tcW w:w="28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淋水器型式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喷淋管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73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</w:t>
            </w:r>
          </w:p>
        </w:tc>
        <w:tc>
          <w:tcPr>
            <w:tcW w:w="28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作业流程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放盘 → 铺土→ 淋水→  播种→ 覆土→ 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2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</w:t>
            </w:r>
          </w:p>
        </w:tc>
        <w:tc>
          <w:tcPr>
            <w:tcW w:w="28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配套电源电压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V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53" w:hRule="atLeast"/>
        </w:trPr>
        <w:tc>
          <w:tcPr>
            <w:tcW w:w="8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11</w:t>
            </w:r>
          </w:p>
        </w:tc>
        <w:tc>
          <w:tcPr>
            <w:tcW w:w="10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配套动力</w:t>
            </w: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铺土电机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W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</w:trPr>
        <w:tc>
          <w:tcPr>
            <w:tcW w:w="8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覆土电机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W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播种电机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W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41" w:hRule="atLeast"/>
        </w:trPr>
        <w:tc>
          <w:tcPr>
            <w:tcW w:w="8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总动力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W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300</w:t>
            </w:r>
          </w:p>
        </w:tc>
      </w:tr>
    </w:tbl>
    <w:p>
      <w:pPr>
        <w:adjustRightInd w:val="0"/>
        <w:snapToGrid w:val="0"/>
        <w:jc w:val="left"/>
        <w:rPr>
          <w:rFonts w:ascii="宋体" w:hAnsi="宋体"/>
          <w:szCs w:val="21"/>
        </w:rPr>
      </w:pPr>
    </w:p>
    <w:p>
      <w:pPr>
        <w:adjustRightInd w:val="0"/>
        <w:snapToGrid w:val="0"/>
        <w:jc w:val="left"/>
        <w:rPr>
          <w:rFonts w:ascii="宋体" w:hAnsi="宋体"/>
          <w:szCs w:val="21"/>
        </w:rPr>
      </w:pPr>
    </w:p>
    <w:p>
      <w:pPr>
        <w:adjustRightInd w:val="0"/>
        <w:snapToGrid w:val="0"/>
        <w:jc w:val="left"/>
        <w:rPr>
          <w:rFonts w:ascii="宋体" w:hAnsi="宋体"/>
          <w:szCs w:val="21"/>
        </w:rPr>
      </w:pPr>
    </w:p>
    <w:p>
      <w:pPr>
        <w:adjustRightInd w:val="0"/>
        <w:snapToGrid w:val="0"/>
        <w:jc w:val="left"/>
        <w:rPr>
          <w:rFonts w:hint="eastAsia" w:ascii="宋体" w:hAnsi="宋体"/>
          <w:b/>
          <w:sz w:val="30"/>
        </w:rPr>
      </w:pPr>
      <w:r>
        <w:rPr>
          <w:rFonts w:hint="eastAsia" w:ascii="宋体" w:hAnsi="宋体"/>
          <w:b/>
          <w:sz w:val="30"/>
        </w:rPr>
        <w:t>3.检验结果</w:t>
      </w:r>
    </w:p>
    <w:tbl>
      <w:tblPr>
        <w:tblStyle w:val="13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546"/>
        <w:gridCol w:w="441"/>
        <w:gridCol w:w="1982"/>
        <w:gridCol w:w="854"/>
        <w:gridCol w:w="3967"/>
        <w:gridCol w:w="851"/>
        <w:gridCol w:w="701"/>
        <w:gridCol w:w="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gridAfter w:val="1"/>
          <w:wAfter w:w="14" w:type="dxa"/>
          <w:cantSplit/>
          <w:trHeight w:val="734" w:hRule="atLeast"/>
          <w:jc w:val="center"/>
        </w:trPr>
        <w:tc>
          <w:tcPr>
            <w:tcW w:w="98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类别</w:t>
            </w:r>
          </w:p>
        </w:tc>
        <w:tc>
          <w:tcPr>
            <w:tcW w:w="1982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检验项目</w:t>
            </w:r>
          </w:p>
        </w:tc>
        <w:tc>
          <w:tcPr>
            <w:tcW w:w="854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</w:t>
            </w:r>
          </w:p>
        </w:tc>
        <w:tc>
          <w:tcPr>
            <w:tcW w:w="3967" w:type="dxa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合格指标</w:t>
            </w:r>
          </w:p>
        </w:tc>
        <w:tc>
          <w:tcPr>
            <w:tcW w:w="851" w:type="dxa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检验</w:t>
            </w:r>
          </w:p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结果</w:t>
            </w:r>
          </w:p>
        </w:tc>
        <w:tc>
          <w:tcPr>
            <w:tcW w:w="701" w:type="dxa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单项</w:t>
            </w:r>
          </w:p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判定</w:t>
            </w:r>
          </w:p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14" w:type="dxa"/>
          <w:cantSplit/>
          <w:trHeight w:val="565" w:hRule="atLeast"/>
          <w:jc w:val="center"/>
        </w:trPr>
        <w:tc>
          <w:tcPr>
            <w:tcW w:w="54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类</w:t>
            </w:r>
          </w:p>
        </w:tc>
        <w:tc>
          <w:tcPr>
            <w:tcW w:w="44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</w:t>
            </w:r>
          </w:p>
        </w:tc>
        <w:tc>
          <w:tcPr>
            <w:tcW w:w="1982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67" w:type="dxa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1" w:type="dxa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14" w:type="dxa"/>
          <w:cantSplit/>
          <w:trHeight w:val="1210" w:hRule="atLeast"/>
          <w:jc w:val="center"/>
        </w:trPr>
        <w:tc>
          <w:tcPr>
            <w:tcW w:w="546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A</w:t>
            </w:r>
          </w:p>
        </w:tc>
        <w:tc>
          <w:tcPr>
            <w:tcW w:w="44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982" w:type="dxa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安全防护</w:t>
            </w:r>
          </w:p>
        </w:tc>
        <w:tc>
          <w:tcPr>
            <w:tcW w:w="85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/</w:t>
            </w:r>
          </w:p>
        </w:tc>
        <w:tc>
          <w:tcPr>
            <w:tcW w:w="3967" w:type="dxa"/>
            <w:vAlign w:val="center"/>
          </w:tcPr>
          <w:p>
            <w:pPr>
              <w:spacing w:line="260" w:lineRule="exact"/>
              <w:rPr>
                <w:rFonts w:ascii="宋体" w:hAnsi="宋体"/>
                <w:sz w:val="24"/>
              </w:rPr>
            </w:pPr>
            <w:r>
              <w:rPr>
                <w:rFonts w:hint="eastAsia"/>
                <w:color w:val="000000"/>
              </w:rPr>
              <w:t>防护装置应符合GB 10395.1的规定，镇压、刷土、播种等部位链轮、链条等回转件应有防护罩，防护罩固定牢固，有足够的强度；</w:t>
            </w:r>
          </w:p>
        </w:tc>
        <w:tc>
          <w:tcPr>
            <w:tcW w:w="851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符合</w:t>
            </w:r>
          </w:p>
        </w:tc>
        <w:tc>
          <w:tcPr>
            <w:tcW w:w="701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+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14" w:type="dxa"/>
          <w:cantSplit/>
          <w:trHeight w:val="1411" w:hRule="atLeast"/>
          <w:jc w:val="center"/>
        </w:trPr>
        <w:tc>
          <w:tcPr>
            <w:tcW w:w="54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4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982" w:type="dxa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安全标志</w:t>
            </w:r>
          </w:p>
        </w:tc>
        <w:tc>
          <w:tcPr>
            <w:tcW w:w="85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3967" w:type="dxa"/>
            <w:vAlign w:val="center"/>
          </w:tcPr>
          <w:p>
            <w:pPr>
              <w:rPr>
                <w:rFonts w:ascii="宋体" w:hAnsi="宋体"/>
                <w:kern w:val="10"/>
                <w:sz w:val="24"/>
              </w:rPr>
            </w:pPr>
            <w:r>
              <w:rPr>
                <w:rFonts w:hint="eastAsia"/>
                <w:color w:val="000000"/>
              </w:rPr>
              <w:t>在防护罩上应按GB 10396要求，粘贴固定永久的安全警告标志，使用说明书中应再现安全警示标志，并说明其粘贴位置和数量；</w:t>
            </w:r>
          </w:p>
        </w:tc>
        <w:tc>
          <w:tcPr>
            <w:tcW w:w="851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符合</w:t>
            </w:r>
          </w:p>
        </w:tc>
        <w:tc>
          <w:tcPr>
            <w:tcW w:w="701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+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14" w:type="dxa"/>
          <w:cantSplit/>
          <w:trHeight w:val="1404" w:hRule="atLeast"/>
          <w:jc w:val="center"/>
        </w:trPr>
        <w:tc>
          <w:tcPr>
            <w:tcW w:w="54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4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1982" w:type="dxa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电气安全性</w:t>
            </w:r>
          </w:p>
        </w:tc>
        <w:tc>
          <w:tcPr>
            <w:tcW w:w="85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3967" w:type="dxa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各电气设备有GB 12350—2009第4.3规定的接地标志，应可靠接地，接地电阻值不应大于0.1Ω；电动机绝缘电阻在常态下不低于50MΩ；</w:t>
            </w:r>
          </w:p>
        </w:tc>
        <w:tc>
          <w:tcPr>
            <w:tcW w:w="851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符合</w:t>
            </w:r>
          </w:p>
        </w:tc>
        <w:tc>
          <w:tcPr>
            <w:tcW w:w="701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+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676" w:hRule="atLeast"/>
          <w:jc w:val="center"/>
        </w:trPr>
        <w:tc>
          <w:tcPr>
            <w:tcW w:w="54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4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1982" w:type="dxa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安全使用说明</w:t>
            </w:r>
          </w:p>
        </w:tc>
        <w:tc>
          <w:tcPr>
            <w:tcW w:w="85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396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安全操作规程和安全注意事项在使用说明书中应做规定。</w:t>
            </w:r>
          </w:p>
        </w:tc>
        <w:tc>
          <w:tcPr>
            <w:tcW w:w="851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符合</w:t>
            </w:r>
          </w:p>
        </w:tc>
        <w:tc>
          <w:tcPr>
            <w:tcW w:w="715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+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54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4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1982" w:type="dxa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空格率</w:t>
            </w:r>
          </w:p>
        </w:tc>
        <w:tc>
          <w:tcPr>
            <w:tcW w:w="85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396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≤3%</w:t>
            </w:r>
          </w:p>
        </w:tc>
        <w:tc>
          <w:tcPr>
            <w:tcW w:w="851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715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+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08" w:hRule="atLeast"/>
          <w:jc w:val="center"/>
        </w:trPr>
        <w:tc>
          <w:tcPr>
            <w:tcW w:w="54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4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1982" w:type="dxa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播种均匀度合格率</w:t>
            </w:r>
          </w:p>
        </w:tc>
        <w:tc>
          <w:tcPr>
            <w:tcW w:w="85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396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≥85%</w:t>
            </w:r>
          </w:p>
        </w:tc>
        <w:tc>
          <w:tcPr>
            <w:tcW w:w="851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88</w:t>
            </w:r>
          </w:p>
        </w:tc>
        <w:tc>
          <w:tcPr>
            <w:tcW w:w="715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+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546" w:type="dxa"/>
            <w:vMerge w:val="restart"/>
            <w:vAlign w:val="center"/>
          </w:tcPr>
          <w:p>
            <w:pPr>
              <w:pStyle w:val="4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B</w:t>
            </w:r>
          </w:p>
        </w:tc>
        <w:tc>
          <w:tcPr>
            <w:tcW w:w="44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982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种子破损率</w:t>
            </w:r>
          </w:p>
        </w:tc>
        <w:tc>
          <w:tcPr>
            <w:tcW w:w="854" w:type="dxa"/>
            <w:vAlign w:val="center"/>
          </w:tcPr>
          <w:p>
            <w:pPr>
              <w:jc w:val="center"/>
              <w:rPr>
                <w:rFonts w:ascii="宋体" w:hAnsi="宋体"/>
                <w:kern w:val="10"/>
                <w:sz w:val="24"/>
              </w:rPr>
            </w:pPr>
            <w:r>
              <w:rPr>
                <w:rFonts w:hint="eastAsia" w:ascii="宋体" w:hAnsi="宋体"/>
                <w:kern w:val="10"/>
                <w:sz w:val="24"/>
              </w:rPr>
              <w:t>/</w:t>
            </w:r>
          </w:p>
        </w:tc>
        <w:tc>
          <w:tcPr>
            <w:tcW w:w="3967" w:type="dxa"/>
            <w:vAlign w:val="center"/>
          </w:tcPr>
          <w:p>
            <w:pPr>
              <w:jc w:val="center"/>
              <w:rPr>
                <w:rFonts w:ascii="宋体" w:hAnsi="宋体"/>
                <w:kern w:val="10"/>
                <w:szCs w:val="21"/>
              </w:rPr>
            </w:pPr>
            <w:r>
              <w:rPr>
                <w:rFonts w:hint="eastAsia" w:ascii="宋体" w:hAnsi="宋体"/>
                <w:kern w:val="10"/>
                <w:szCs w:val="21"/>
              </w:rPr>
              <w:t>≤2%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kern w:val="10"/>
                <w:sz w:val="24"/>
              </w:rPr>
            </w:pPr>
            <w:r>
              <w:rPr>
                <w:rFonts w:hint="eastAsia" w:ascii="宋体" w:hAnsi="宋体"/>
                <w:kern w:val="10"/>
                <w:sz w:val="24"/>
              </w:rPr>
              <w:t>1</w:t>
            </w:r>
          </w:p>
        </w:tc>
        <w:tc>
          <w:tcPr>
            <w:tcW w:w="71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+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546" w:type="dxa"/>
            <w:vMerge w:val="continue"/>
            <w:vAlign w:val="center"/>
          </w:tcPr>
          <w:p>
            <w:pPr>
              <w:pStyle w:val="4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44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982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盘播种量</w:t>
            </w:r>
          </w:p>
        </w:tc>
        <w:tc>
          <w:tcPr>
            <w:tcW w:w="854" w:type="dxa"/>
            <w:vAlign w:val="center"/>
          </w:tcPr>
          <w:p>
            <w:pPr>
              <w:jc w:val="center"/>
              <w:rPr>
                <w:rFonts w:ascii="宋体" w:hAnsi="宋体"/>
                <w:kern w:val="10"/>
                <w:sz w:val="24"/>
              </w:rPr>
            </w:pPr>
            <w:r>
              <w:rPr>
                <w:rFonts w:hint="eastAsia" w:ascii="宋体" w:hAnsi="宋体"/>
                <w:kern w:val="10"/>
                <w:sz w:val="24"/>
              </w:rPr>
              <w:t>g/盘</w:t>
            </w:r>
          </w:p>
        </w:tc>
        <w:tc>
          <w:tcPr>
            <w:tcW w:w="3967" w:type="dxa"/>
            <w:vAlign w:val="center"/>
          </w:tcPr>
          <w:p>
            <w:pPr>
              <w:jc w:val="center"/>
              <w:rPr>
                <w:rFonts w:ascii="宋体" w:hAnsi="宋体"/>
                <w:kern w:val="10"/>
                <w:szCs w:val="21"/>
              </w:rPr>
            </w:pPr>
            <w:r>
              <w:rPr>
                <w:rFonts w:hint="eastAsia" w:ascii="宋体" w:hAnsi="宋体"/>
                <w:kern w:val="10"/>
                <w:szCs w:val="21"/>
              </w:rPr>
              <w:t>90-320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kern w:val="1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符合</w:t>
            </w:r>
          </w:p>
        </w:tc>
        <w:tc>
          <w:tcPr>
            <w:tcW w:w="71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+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3" w:hRule="atLeast"/>
          <w:jc w:val="center"/>
        </w:trPr>
        <w:tc>
          <w:tcPr>
            <w:tcW w:w="546" w:type="dxa"/>
            <w:vMerge w:val="continue"/>
            <w:vAlign w:val="center"/>
          </w:tcPr>
          <w:p>
            <w:pPr>
              <w:pStyle w:val="4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44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1982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铺土厚度稳定性</w:t>
            </w:r>
          </w:p>
        </w:tc>
        <w:tc>
          <w:tcPr>
            <w:tcW w:w="854" w:type="dxa"/>
            <w:vAlign w:val="center"/>
          </w:tcPr>
          <w:p>
            <w:pPr>
              <w:jc w:val="center"/>
              <w:rPr>
                <w:rFonts w:ascii="宋体" w:hAnsi="宋体"/>
                <w:kern w:val="10"/>
                <w:sz w:val="24"/>
              </w:rPr>
            </w:pPr>
            <w:r>
              <w:rPr>
                <w:rFonts w:hint="eastAsia" w:ascii="宋体" w:hAnsi="宋体"/>
                <w:kern w:val="10"/>
                <w:sz w:val="24"/>
              </w:rPr>
              <w:t>/</w:t>
            </w:r>
          </w:p>
        </w:tc>
        <w:tc>
          <w:tcPr>
            <w:tcW w:w="3967" w:type="dxa"/>
            <w:vAlign w:val="center"/>
          </w:tcPr>
          <w:p>
            <w:pPr>
              <w:jc w:val="center"/>
              <w:rPr>
                <w:rFonts w:ascii="宋体" w:hAnsi="宋体"/>
                <w:kern w:val="10"/>
                <w:szCs w:val="21"/>
              </w:rPr>
            </w:pPr>
            <w:r>
              <w:rPr>
                <w:rFonts w:hint="eastAsia" w:ascii="宋体" w:hAnsi="宋体"/>
                <w:kern w:val="10"/>
                <w:szCs w:val="21"/>
              </w:rPr>
              <w:t>≥90%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kern w:val="10"/>
                <w:sz w:val="24"/>
              </w:rPr>
            </w:pPr>
            <w:r>
              <w:rPr>
                <w:rFonts w:hint="eastAsia" w:ascii="宋体" w:hAnsi="宋体"/>
                <w:kern w:val="10"/>
                <w:sz w:val="24"/>
              </w:rPr>
              <w:t>93</w:t>
            </w:r>
          </w:p>
        </w:tc>
        <w:tc>
          <w:tcPr>
            <w:tcW w:w="71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+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546" w:type="dxa"/>
            <w:vMerge w:val="continue"/>
            <w:vAlign w:val="center"/>
          </w:tcPr>
          <w:p>
            <w:pPr>
              <w:pStyle w:val="4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44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1982" w:type="dxa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覆土厚度稳定性</w:t>
            </w:r>
          </w:p>
        </w:tc>
        <w:tc>
          <w:tcPr>
            <w:tcW w:w="854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3967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kern w:val="10"/>
                <w:szCs w:val="21"/>
              </w:rPr>
              <w:t>≥90%</w:t>
            </w:r>
          </w:p>
        </w:tc>
        <w:tc>
          <w:tcPr>
            <w:tcW w:w="851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91</w:t>
            </w:r>
          </w:p>
        </w:tc>
        <w:tc>
          <w:tcPr>
            <w:tcW w:w="71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+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546" w:type="dxa"/>
            <w:vMerge w:val="continue"/>
            <w:vAlign w:val="center"/>
          </w:tcPr>
          <w:p>
            <w:pPr>
              <w:pStyle w:val="4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44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1982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小时播盘量</w:t>
            </w:r>
          </w:p>
        </w:tc>
        <w:tc>
          <w:tcPr>
            <w:tcW w:w="854" w:type="dxa"/>
            <w:vAlign w:val="center"/>
          </w:tcPr>
          <w:p>
            <w:pPr>
              <w:jc w:val="center"/>
              <w:rPr>
                <w:rFonts w:ascii="宋体" w:hAnsi="宋体"/>
                <w:kern w:val="10"/>
                <w:sz w:val="24"/>
              </w:rPr>
            </w:pPr>
            <w:r>
              <w:rPr>
                <w:rFonts w:hint="eastAsia" w:ascii="宋体" w:hAnsi="宋体"/>
                <w:kern w:val="10"/>
                <w:sz w:val="24"/>
              </w:rPr>
              <w:t>盘/h</w:t>
            </w:r>
          </w:p>
        </w:tc>
        <w:tc>
          <w:tcPr>
            <w:tcW w:w="3967" w:type="dxa"/>
            <w:vAlign w:val="center"/>
          </w:tcPr>
          <w:p>
            <w:pPr>
              <w:jc w:val="center"/>
              <w:rPr>
                <w:rFonts w:ascii="宋体" w:hAnsi="宋体"/>
                <w:kern w:val="10"/>
                <w:szCs w:val="21"/>
              </w:rPr>
            </w:pPr>
            <w:r>
              <w:rPr>
                <w:rFonts w:hint="eastAsia" w:ascii="宋体" w:hAnsi="宋体"/>
                <w:kern w:val="10"/>
                <w:szCs w:val="21"/>
              </w:rPr>
              <w:t>600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kern w:val="10"/>
                <w:sz w:val="24"/>
              </w:rPr>
            </w:pPr>
            <w:r>
              <w:rPr>
                <w:rFonts w:hint="eastAsia" w:ascii="宋体" w:hAnsi="宋体"/>
                <w:kern w:val="10"/>
                <w:sz w:val="24"/>
              </w:rPr>
              <w:t>628</w:t>
            </w:r>
          </w:p>
        </w:tc>
        <w:tc>
          <w:tcPr>
            <w:tcW w:w="71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+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02" w:hRule="atLeast"/>
          <w:jc w:val="center"/>
        </w:trPr>
        <w:tc>
          <w:tcPr>
            <w:tcW w:w="546" w:type="dxa"/>
            <w:vMerge w:val="restart"/>
            <w:vAlign w:val="center"/>
          </w:tcPr>
          <w:p>
            <w:pPr>
              <w:pStyle w:val="4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C</w:t>
            </w:r>
          </w:p>
        </w:tc>
        <w:tc>
          <w:tcPr>
            <w:tcW w:w="44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982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淋水均匀性</w:t>
            </w:r>
          </w:p>
        </w:tc>
        <w:tc>
          <w:tcPr>
            <w:tcW w:w="854" w:type="dxa"/>
            <w:vAlign w:val="center"/>
          </w:tcPr>
          <w:p>
            <w:pPr>
              <w:jc w:val="center"/>
              <w:rPr>
                <w:rFonts w:ascii="宋体" w:hAnsi="宋体"/>
                <w:kern w:val="10"/>
                <w:sz w:val="24"/>
              </w:rPr>
            </w:pPr>
            <w:r>
              <w:rPr>
                <w:rFonts w:hint="eastAsia" w:ascii="宋体" w:hAnsi="宋体"/>
                <w:kern w:val="10"/>
                <w:sz w:val="24"/>
              </w:rPr>
              <w:t>/</w:t>
            </w:r>
          </w:p>
        </w:tc>
        <w:tc>
          <w:tcPr>
            <w:tcW w:w="3967" w:type="dxa"/>
            <w:vAlign w:val="center"/>
          </w:tcPr>
          <w:p>
            <w:pPr>
              <w:jc w:val="center"/>
              <w:rPr>
                <w:rFonts w:ascii="宋体" w:hAnsi="宋体"/>
                <w:kern w:val="10"/>
                <w:szCs w:val="21"/>
              </w:rPr>
            </w:pPr>
            <w:r>
              <w:rPr>
                <w:rFonts w:hint="eastAsia" w:ascii="宋体" w:hAnsi="宋体"/>
                <w:kern w:val="10"/>
                <w:szCs w:val="21"/>
              </w:rPr>
              <w:t>≥90%</w:t>
            </w:r>
          </w:p>
        </w:tc>
        <w:tc>
          <w:tcPr>
            <w:tcW w:w="851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94</w:t>
            </w:r>
          </w:p>
        </w:tc>
        <w:tc>
          <w:tcPr>
            <w:tcW w:w="71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+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09" w:hRule="atLeast"/>
          <w:jc w:val="center"/>
        </w:trPr>
        <w:tc>
          <w:tcPr>
            <w:tcW w:w="546" w:type="dxa"/>
            <w:vMerge w:val="continue"/>
            <w:vAlign w:val="center"/>
          </w:tcPr>
          <w:p>
            <w:pPr>
              <w:pStyle w:val="4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44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982" w:type="dxa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铭牌</w:t>
            </w:r>
          </w:p>
        </w:tc>
        <w:tc>
          <w:tcPr>
            <w:tcW w:w="854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3967" w:type="dxa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/>
                <w:color w:val="000000"/>
              </w:rPr>
              <w:t>应安装有符合</w:t>
            </w:r>
            <w:r>
              <w:rPr>
                <w:color w:val="000000"/>
              </w:rPr>
              <w:t xml:space="preserve">GB/T </w:t>
            </w:r>
            <w:r>
              <w:rPr>
                <w:rFonts w:hint="eastAsia"/>
                <w:color w:val="000000"/>
              </w:rPr>
              <w:t>13306规定的铭牌，内容至少应包括：产品型号、名称、主要技术性能规格（如外形尺寸、配套动力等）、产品出厂编号、产品出厂日期和制造单位名称及地址。</w:t>
            </w:r>
          </w:p>
        </w:tc>
        <w:tc>
          <w:tcPr>
            <w:tcW w:w="851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符合</w:t>
            </w:r>
          </w:p>
        </w:tc>
        <w:tc>
          <w:tcPr>
            <w:tcW w:w="71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+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546" w:type="dxa"/>
            <w:vMerge w:val="continue"/>
            <w:vAlign w:val="center"/>
          </w:tcPr>
          <w:p>
            <w:pPr>
              <w:pStyle w:val="4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44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1982" w:type="dxa"/>
            <w:vAlign w:val="center"/>
          </w:tcPr>
          <w:p>
            <w:pPr>
              <w:spacing w:line="2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电机温升</w:t>
            </w:r>
          </w:p>
        </w:tc>
        <w:tc>
          <w:tcPr>
            <w:tcW w:w="854" w:type="dxa"/>
            <w:vAlign w:val="center"/>
          </w:tcPr>
          <w:p>
            <w:pPr>
              <w:jc w:val="center"/>
              <w:rPr>
                <w:rFonts w:ascii="宋体" w:hAnsi="宋体"/>
                <w:kern w:val="10"/>
                <w:sz w:val="24"/>
              </w:rPr>
            </w:pPr>
            <w:r>
              <w:rPr>
                <w:rFonts w:hint="eastAsia" w:ascii="宋体" w:hAnsi="宋体"/>
                <w:kern w:val="10"/>
                <w:sz w:val="24"/>
              </w:rPr>
              <w:t>℃</w:t>
            </w:r>
          </w:p>
        </w:tc>
        <w:tc>
          <w:tcPr>
            <w:tcW w:w="3967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≤50</w:t>
            </w:r>
          </w:p>
        </w:tc>
        <w:tc>
          <w:tcPr>
            <w:tcW w:w="85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71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+</w:t>
            </w:r>
          </w:p>
        </w:tc>
      </w:tr>
    </w:tbl>
    <w:p>
      <w:pPr>
        <w:adjustRightInd w:val="0"/>
        <w:snapToGrid w:val="0"/>
        <w:jc w:val="left"/>
        <w:rPr>
          <w:rFonts w:hint="eastAsia" w:ascii="宋体" w:hAnsi="宋体"/>
          <w:b/>
          <w:sz w:val="30"/>
        </w:rPr>
      </w:pPr>
    </w:p>
    <w:p>
      <w:pPr>
        <w:adjustRightInd w:val="0"/>
        <w:snapToGrid w:val="0"/>
        <w:jc w:val="left"/>
        <w:rPr>
          <w:rFonts w:hint="eastAsia" w:ascii="宋体" w:hAnsi="宋体"/>
          <w:b/>
          <w:sz w:val="30"/>
        </w:rPr>
      </w:pPr>
    </w:p>
    <w:p>
      <w:pPr>
        <w:adjustRightInd w:val="0"/>
        <w:snapToGrid w:val="0"/>
        <w:jc w:val="left"/>
        <w:rPr>
          <w:rFonts w:hint="eastAsia" w:ascii="宋体" w:hAnsi="宋体"/>
          <w:b/>
          <w:sz w:val="30"/>
        </w:rPr>
      </w:pPr>
    </w:p>
    <w:tbl>
      <w:tblPr>
        <w:tblStyle w:val="13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546"/>
        <w:gridCol w:w="441"/>
        <w:gridCol w:w="1982"/>
        <w:gridCol w:w="854"/>
        <w:gridCol w:w="3967"/>
        <w:gridCol w:w="851"/>
        <w:gridCol w:w="701"/>
        <w:gridCol w:w="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806" w:hRule="atLeast"/>
          <w:jc w:val="center"/>
        </w:trPr>
        <w:tc>
          <w:tcPr>
            <w:tcW w:w="98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类别</w:t>
            </w:r>
          </w:p>
        </w:tc>
        <w:tc>
          <w:tcPr>
            <w:tcW w:w="1982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检验项目</w:t>
            </w:r>
          </w:p>
        </w:tc>
        <w:tc>
          <w:tcPr>
            <w:tcW w:w="854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</w:t>
            </w:r>
          </w:p>
        </w:tc>
        <w:tc>
          <w:tcPr>
            <w:tcW w:w="3967" w:type="dxa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合格指标</w:t>
            </w:r>
          </w:p>
        </w:tc>
        <w:tc>
          <w:tcPr>
            <w:tcW w:w="851" w:type="dxa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检验</w:t>
            </w:r>
          </w:p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结果</w:t>
            </w:r>
          </w:p>
        </w:tc>
        <w:tc>
          <w:tcPr>
            <w:tcW w:w="715" w:type="dxa"/>
            <w:gridSpan w:val="2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单项</w:t>
            </w:r>
          </w:p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判定</w:t>
            </w:r>
          </w:p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621" w:hRule="atLeast"/>
          <w:jc w:val="center"/>
        </w:trPr>
        <w:tc>
          <w:tcPr>
            <w:tcW w:w="54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类</w:t>
            </w:r>
          </w:p>
        </w:tc>
        <w:tc>
          <w:tcPr>
            <w:tcW w:w="44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</w:t>
            </w:r>
          </w:p>
        </w:tc>
        <w:tc>
          <w:tcPr>
            <w:tcW w:w="1982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67" w:type="dxa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5" w:type="dxa"/>
            <w:gridSpan w:val="2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546" w:type="dxa"/>
            <w:vMerge w:val="restart"/>
            <w:vAlign w:val="center"/>
          </w:tcPr>
          <w:p>
            <w:pPr>
              <w:pStyle w:val="4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C</w:t>
            </w:r>
          </w:p>
        </w:tc>
        <w:tc>
          <w:tcPr>
            <w:tcW w:w="44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1982" w:type="dxa"/>
            <w:vAlign w:val="center"/>
          </w:tcPr>
          <w:p>
            <w:pPr>
              <w:spacing w:line="2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装配质量</w:t>
            </w:r>
          </w:p>
        </w:tc>
        <w:tc>
          <w:tcPr>
            <w:tcW w:w="854" w:type="dxa"/>
            <w:vAlign w:val="center"/>
          </w:tcPr>
          <w:p>
            <w:pPr>
              <w:jc w:val="center"/>
              <w:rPr>
                <w:rFonts w:ascii="宋体" w:hAnsi="宋体"/>
                <w:kern w:val="10"/>
                <w:sz w:val="24"/>
              </w:rPr>
            </w:pPr>
            <w:r>
              <w:rPr>
                <w:rFonts w:hint="eastAsia" w:ascii="宋体" w:hAnsi="宋体"/>
                <w:kern w:val="10"/>
                <w:sz w:val="24"/>
              </w:rPr>
              <w:t>/</w:t>
            </w:r>
          </w:p>
        </w:tc>
        <w:tc>
          <w:tcPr>
            <w:tcW w:w="3967" w:type="dxa"/>
            <w:vAlign w:val="center"/>
          </w:tcPr>
          <w:p>
            <w:pPr>
              <w:pStyle w:val="15"/>
              <w:ind w:firstLine="0" w:firstLineChars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a）所有运动件应转动灵活，链条、链轮啮合正确，空负荷运转平稳，无不正常的杂音和敲击声；</w:t>
            </w:r>
          </w:p>
          <w:p>
            <w:pPr>
              <w:pStyle w:val="15"/>
              <w:ind w:firstLine="0" w:firstLineChars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b）导轨应平直、平行，导轨不行度不大于1mm，床土铺土、播种、覆土、输送等导轨连接后，接口缝隙不大于1mm。辅助导轨应连接牢固，动力传递可靠；</w:t>
            </w:r>
          </w:p>
          <w:p>
            <w:pPr>
              <w:pStyle w:val="15"/>
              <w:ind w:firstLine="0" w:firstLineChars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c）种箱、铺土箱、覆土箱结合处应密封，不应有漏种、漏土现象；</w:t>
            </w:r>
          </w:p>
          <w:p>
            <w:pPr>
              <w:pStyle w:val="15"/>
              <w:ind w:firstLine="0" w:firstLineChars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d）水管接头处应连接牢靠、密封。水路开关处于关的位置时，淋水装置不应有滴水现象。</w:t>
            </w:r>
          </w:p>
        </w:tc>
        <w:tc>
          <w:tcPr>
            <w:tcW w:w="85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符合</w:t>
            </w:r>
          </w:p>
        </w:tc>
        <w:tc>
          <w:tcPr>
            <w:tcW w:w="71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+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14" w:type="dxa"/>
          <w:cantSplit/>
          <w:trHeight w:val="466" w:hRule="atLeast"/>
          <w:jc w:val="center"/>
        </w:trPr>
        <w:tc>
          <w:tcPr>
            <w:tcW w:w="546" w:type="dxa"/>
            <w:vMerge w:val="continue"/>
            <w:vAlign w:val="center"/>
          </w:tcPr>
          <w:p>
            <w:pPr>
              <w:pStyle w:val="4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44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1982" w:type="dxa"/>
            <w:vAlign w:val="center"/>
          </w:tcPr>
          <w:p>
            <w:pPr>
              <w:spacing w:line="2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外观质量</w:t>
            </w:r>
          </w:p>
        </w:tc>
        <w:tc>
          <w:tcPr>
            <w:tcW w:w="854" w:type="dxa"/>
            <w:vAlign w:val="center"/>
          </w:tcPr>
          <w:p>
            <w:pPr>
              <w:jc w:val="center"/>
              <w:rPr>
                <w:rFonts w:ascii="宋体" w:hAnsi="宋体"/>
                <w:kern w:val="10"/>
                <w:sz w:val="24"/>
              </w:rPr>
            </w:pPr>
            <w:r>
              <w:rPr>
                <w:rFonts w:hint="eastAsia" w:ascii="宋体" w:hAnsi="宋体"/>
                <w:kern w:val="10"/>
                <w:sz w:val="24"/>
              </w:rPr>
              <w:t>/</w:t>
            </w:r>
          </w:p>
        </w:tc>
        <w:tc>
          <w:tcPr>
            <w:tcW w:w="3967" w:type="dxa"/>
            <w:vAlign w:val="center"/>
          </w:tcPr>
          <w:p>
            <w:pPr>
              <w:pStyle w:val="15"/>
              <w:ind w:firstLine="0" w:firstLineChars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a) 漆膜外观质量应色泽均匀、平整光滑，符合</w:t>
            </w:r>
            <w:r>
              <w:rPr>
                <w:color w:val="000000"/>
              </w:rPr>
              <w:t>JB/T</w:t>
            </w:r>
            <w:r>
              <w:rPr>
                <w:rFonts w:hint="eastAsia"/>
                <w:color w:val="000000"/>
              </w:rPr>
              <w:t xml:space="preserve"> 5673的要求，漆膜厚度不小于35 μm；</w:t>
            </w:r>
          </w:p>
          <w:p>
            <w:pPr>
              <w:pStyle w:val="15"/>
              <w:ind w:firstLine="0" w:firstLineChars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b) 漆膜附着力按</w:t>
            </w:r>
            <w:r>
              <w:rPr>
                <w:color w:val="000000"/>
              </w:rPr>
              <w:t>JB/T 9832.2</w:t>
            </w:r>
            <w:r>
              <w:rPr>
                <w:rFonts w:hint="eastAsia"/>
                <w:color w:val="000000"/>
              </w:rPr>
              <w:t>进行，要求3处不低于Ⅱ级；</w:t>
            </w:r>
          </w:p>
          <w:p>
            <w:pPr>
              <w:pStyle w:val="15"/>
              <w:ind w:firstLine="0" w:firstLineChars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c）焊接件的焊缝应平整、光洁、牢固，不得有漏焊、脱焊和明显变形；</w:t>
            </w:r>
          </w:p>
          <w:p>
            <w:pPr>
              <w:pStyle w:val="15"/>
              <w:ind w:firstLine="0" w:firstLineChars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d）铸件表面光洁，不得有气孔、夹渣、砂眼等明显缺陷；</w:t>
            </w:r>
          </w:p>
          <w:p>
            <w:pPr>
              <w:pStyle w:val="15"/>
              <w:ind w:firstLine="0" w:firstLineChars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e）冲压件应光滑、平整，无毛刺、飞边，不得有裂纹和明显褶皱；</w:t>
            </w:r>
          </w:p>
          <w:p>
            <w:pPr>
              <w:spacing w:line="2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hint="eastAsia"/>
                <w:color w:val="000000"/>
              </w:rPr>
              <w:t>f）不涂漆的零件表面，应作防锈处理。</w:t>
            </w:r>
          </w:p>
        </w:tc>
        <w:tc>
          <w:tcPr>
            <w:tcW w:w="85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符合</w:t>
            </w:r>
          </w:p>
        </w:tc>
        <w:tc>
          <w:tcPr>
            <w:tcW w:w="70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+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14" w:type="dxa"/>
          <w:cantSplit/>
          <w:trHeight w:val="982" w:hRule="atLeast"/>
          <w:jc w:val="center"/>
        </w:trPr>
        <w:tc>
          <w:tcPr>
            <w:tcW w:w="546" w:type="dxa"/>
            <w:vMerge w:val="continue"/>
            <w:vAlign w:val="center"/>
          </w:tcPr>
          <w:p>
            <w:pPr>
              <w:pStyle w:val="4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44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1982" w:type="dxa"/>
            <w:vAlign w:val="center"/>
          </w:tcPr>
          <w:p>
            <w:pPr>
              <w:spacing w:line="2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盘最大播种量符合性（企业设计值320g</w:t>
            </w:r>
            <w:r>
              <w:rPr>
                <w:rFonts w:ascii="宋体" w:hAnsi="宋体"/>
                <w:bCs/>
                <w:sz w:val="24"/>
              </w:rPr>
              <w:t>）</w:t>
            </w:r>
          </w:p>
        </w:tc>
        <w:tc>
          <w:tcPr>
            <w:tcW w:w="854" w:type="dxa"/>
            <w:vAlign w:val="center"/>
          </w:tcPr>
          <w:p>
            <w:pPr>
              <w:jc w:val="center"/>
              <w:rPr>
                <w:rFonts w:ascii="宋体" w:hAnsi="宋体"/>
                <w:kern w:val="10"/>
                <w:sz w:val="24"/>
              </w:rPr>
            </w:pPr>
            <w:r>
              <w:rPr>
                <w:rFonts w:hint="eastAsia" w:ascii="宋体" w:hAnsi="宋体"/>
                <w:kern w:val="10"/>
                <w:sz w:val="24"/>
              </w:rPr>
              <w:t>/</w:t>
            </w:r>
          </w:p>
        </w:tc>
        <w:tc>
          <w:tcPr>
            <w:tcW w:w="3967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kern w:val="10"/>
                <w:sz w:val="24"/>
              </w:rPr>
              <w:t>企业设计值</w:t>
            </w:r>
          </w:p>
        </w:tc>
        <w:tc>
          <w:tcPr>
            <w:tcW w:w="85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符合</w:t>
            </w:r>
          </w:p>
        </w:tc>
        <w:tc>
          <w:tcPr>
            <w:tcW w:w="70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+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14" w:type="dxa"/>
          <w:cantSplit/>
          <w:trHeight w:val="995" w:hRule="atLeast"/>
          <w:jc w:val="center"/>
        </w:trPr>
        <w:tc>
          <w:tcPr>
            <w:tcW w:w="546" w:type="dxa"/>
            <w:vMerge w:val="continue"/>
            <w:vAlign w:val="center"/>
          </w:tcPr>
          <w:p>
            <w:pPr>
              <w:pStyle w:val="4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44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</w:p>
        </w:tc>
        <w:tc>
          <w:tcPr>
            <w:tcW w:w="1982" w:type="dxa"/>
            <w:vAlign w:val="center"/>
          </w:tcPr>
          <w:p>
            <w:pPr>
              <w:spacing w:line="2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盘最小播种量符合性（企业设计值90g</w:t>
            </w:r>
            <w:r>
              <w:rPr>
                <w:rFonts w:ascii="宋体" w:hAnsi="宋体"/>
                <w:bCs/>
                <w:sz w:val="24"/>
              </w:rPr>
              <w:t>）</w:t>
            </w:r>
          </w:p>
        </w:tc>
        <w:tc>
          <w:tcPr>
            <w:tcW w:w="854" w:type="dxa"/>
            <w:vAlign w:val="center"/>
          </w:tcPr>
          <w:p>
            <w:pPr>
              <w:jc w:val="center"/>
              <w:rPr>
                <w:rFonts w:ascii="宋体" w:hAnsi="宋体"/>
                <w:kern w:val="10"/>
                <w:sz w:val="24"/>
              </w:rPr>
            </w:pPr>
            <w:r>
              <w:rPr>
                <w:rFonts w:hint="eastAsia" w:ascii="宋体" w:hAnsi="宋体"/>
                <w:kern w:val="10"/>
                <w:sz w:val="24"/>
              </w:rPr>
              <w:t>/</w:t>
            </w:r>
          </w:p>
        </w:tc>
        <w:tc>
          <w:tcPr>
            <w:tcW w:w="3967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kern w:val="10"/>
                <w:sz w:val="24"/>
              </w:rPr>
              <w:t>企业设计值</w:t>
            </w:r>
          </w:p>
        </w:tc>
        <w:tc>
          <w:tcPr>
            <w:tcW w:w="85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符合</w:t>
            </w:r>
          </w:p>
        </w:tc>
        <w:tc>
          <w:tcPr>
            <w:tcW w:w="70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+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14" w:type="dxa"/>
          <w:cantSplit/>
          <w:trHeight w:val="466" w:hRule="atLeast"/>
          <w:jc w:val="center"/>
        </w:trPr>
        <w:tc>
          <w:tcPr>
            <w:tcW w:w="98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  <w:tc>
          <w:tcPr>
            <w:tcW w:w="8355" w:type="dxa"/>
            <w:gridSpan w:val="5"/>
            <w:vAlign w:val="center"/>
          </w:tcPr>
          <w:p>
            <w:pPr>
              <w:spacing w:line="2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（1）检验结果符合标准要求者在单项判定栏标“+”，不符合者标“-”。</w:t>
            </w:r>
          </w:p>
        </w:tc>
      </w:tr>
    </w:tbl>
    <w:p>
      <w:pPr>
        <w:adjustRightInd w:val="0"/>
        <w:snapToGrid w:val="0"/>
        <w:jc w:val="left"/>
        <w:rPr>
          <w:rFonts w:hint="eastAsia" w:ascii="宋体" w:hAnsi="宋体"/>
          <w:b/>
          <w:sz w:val="30"/>
        </w:rPr>
      </w:pPr>
    </w:p>
    <w:p>
      <w:pPr>
        <w:adjustRightInd w:val="0"/>
        <w:snapToGrid w:val="0"/>
        <w:jc w:val="left"/>
        <w:rPr>
          <w:rFonts w:hint="eastAsia" w:ascii="宋体" w:hAnsi="宋体"/>
          <w:b/>
          <w:sz w:val="30"/>
        </w:rPr>
      </w:pPr>
    </w:p>
    <w:p>
      <w:pPr>
        <w:pStyle w:val="9"/>
        <w:adjustRightInd w:val="0"/>
        <w:snapToGrid w:val="0"/>
        <w:spacing w:before="0" w:beforeAutospacing="0" w:after="0" w:afterAutospacing="0" w:line="360" w:lineRule="auto"/>
        <w:ind w:firstLine="450" w:firstLineChars="150"/>
        <w:jc w:val="both"/>
        <w:rPr>
          <w:rFonts w:ascii="仿宋_GB2312" w:hAnsi="Verdana,ˎ̥" w:eastAsia="仿宋_GB2312"/>
          <w:sz w:val="30"/>
          <w:szCs w:val="30"/>
        </w:rPr>
      </w:pPr>
    </w:p>
    <w:sectPr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MT Extr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Verdana,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>4</w:t>
    </w:r>
    <w:r>
      <w:fldChar w:fldCharType="end"/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splitPgBreakAndParaMark/>
    <w:doNotExpandShiftReturn/>
    <w:adjustLineHeightInTable/>
    <w:growAutofit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B3EB7"/>
    <w:rsid w:val="00000FBF"/>
    <w:rsid w:val="00003814"/>
    <w:rsid w:val="00007BF3"/>
    <w:rsid w:val="00022532"/>
    <w:rsid w:val="000231A4"/>
    <w:rsid w:val="00023ADF"/>
    <w:rsid w:val="00023F3A"/>
    <w:rsid w:val="00032E33"/>
    <w:rsid w:val="000377AB"/>
    <w:rsid w:val="000401D0"/>
    <w:rsid w:val="00040229"/>
    <w:rsid w:val="00040727"/>
    <w:rsid w:val="00045A09"/>
    <w:rsid w:val="00046947"/>
    <w:rsid w:val="00046AF5"/>
    <w:rsid w:val="000551F1"/>
    <w:rsid w:val="000973D0"/>
    <w:rsid w:val="000A53AC"/>
    <w:rsid w:val="000A6E2E"/>
    <w:rsid w:val="000C1D44"/>
    <w:rsid w:val="000C5B7A"/>
    <w:rsid w:val="000C6D4C"/>
    <w:rsid w:val="000D1B8E"/>
    <w:rsid w:val="000D434F"/>
    <w:rsid w:val="000D69BF"/>
    <w:rsid w:val="000E071C"/>
    <w:rsid w:val="000E1B48"/>
    <w:rsid w:val="000F1C7F"/>
    <w:rsid w:val="000F36E6"/>
    <w:rsid w:val="000F3AC6"/>
    <w:rsid w:val="000F4C2C"/>
    <w:rsid w:val="000F73B3"/>
    <w:rsid w:val="00101F49"/>
    <w:rsid w:val="00112244"/>
    <w:rsid w:val="001134B1"/>
    <w:rsid w:val="001153B9"/>
    <w:rsid w:val="00116BD7"/>
    <w:rsid w:val="0012447B"/>
    <w:rsid w:val="001330A6"/>
    <w:rsid w:val="00153655"/>
    <w:rsid w:val="001544E1"/>
    <w:rsid w:val="00161F3F"/>
    <w:rsid w:val="0016576E"/>
    <w:rsid w:val="00167534"/>
    <w:rsid w:val="00170988"/>
    <w:rsid w:val="001824A8"/>
    <w:rsid w:val="00185841"/>
    <w:rsid w:val="00190CC5"/>
    <w:rsid w:val="00196841"/>
    <w:rsid w:val="001A7500"/>
    <w:rsid w:val="001B3EB7"/>
    <w:rsid w:val="001C1626"/>
    <w:rsid w:val="001C1D1C"/>
    <w:rsid w:val="001C581E"/>
    <w:rsid w:val="001C780F"/>
    <w:rsid w:val="001D0E43"/>
    <w:rsid w:val="001D4A54"/>
    <w:rsid w:val="001E3F47"/>
    <w:rsid w:val="001F28AF"/>
    <w:rsid w:val="001F43D9"/>
    <w:rsid w:val="00200F34"/>
    <w:rsid w:val="0020577B"/>
    <w:rsid w:val="00206D61"/>
    <w:rsid w:val="00214543"/>
    <w:rsid w:val="00217431"/>
    <w:rsid w:val="00232F6D"/>
    <w:rsid w:val="00237132"/>
    <w:rsid w:val="00237681"/>
    <w:rsid w:val="00264684"/>
    <w:rsid w:val="00266F24"/>
    <w:rsid w:val="00273B55"/>
    <w:rsid w:val="002A4884"/>
    <w:rsid w:val="002A66A1"/>
    <w:rsid w:val="002B2C0B"/>
    <w:rsid w:val="002D348A"/>
    <w:rsid w:val="002D695C"/>
    <w:rsid w:val="002D714C"/>
    <w:rsid w:val="002E01E7"/>
    <w:rsid w:val="002E08DC"/>
    <w:rsid w:val="002E28E8"/>
    <w:rsid w:val="002E2F51"/>
    <w:rsid w:val="002E3AB0"/>
    <w:rsid w:val="002E54BC"/>
    <w:rsid w:val="002E5DC7"/>
    <w:rsid w:val="002E74EE"/>
    <w:rsid w:val="002F15A6"/>
    <w:rsid w:val="00300649"/>
    <w:rsid w:val="00300C65"/>
    <w:rsid w:val="0030189C"/>
    <w:rsid w:val="00304954"/>
    <w:rsid w:val="003107B7"/>
    <w:rsid w:val="00315575"/>
    <w:rsid w:val="00317754"/>
    <w:rsid w:val="003452A2"/>
    <w:rsid w:val="0035114E"/>
    <w:rsid w:val="0035177B"/>
    <w:rsid w:val="0035208D"/>
    <w:rsid w:val="00354612"/>
    <w:rsid w:val="003561C8"/>
    <w:rsid w:val="00361769"/>
    <w:rsid w:val="003617A9"/>
    <w:rsid w:val="0036703C"/>
    <w:rsid w:val="0037097A"/>
    <w:rsid w:val="00384B9B"/>
    <w:rsid w:val="00384C7F"/>
    <w:rsid w:val="00387A0C"/>
    <w:rsid w:val="00391BE4"/>
    <w:rsid w:val="003956A2"/>
    <w:rsid w:val="003C663F"/>
    <w:rsid w:val="003D4158"/>
    <w:rsid w:val="003E0A10"/>
    <w:rsid w:val="003E2287"/>
    <w:rsid w:val="003F130E"/>
    <w:rsid w:val="003F2C5B"/>
    <w:rsid w:val="003F3C2C"/>
    <w:rsid w:val="00412B7E"/>
    <w:rsid w:val="00416B11"/>
    <w:rsid w:val="0043599C"/>
    <w:rsid w:val="0044347C"/>
    <w:rsid w:val="004458B8"/>
    <w:rsid w:val="00447DC4"/>
    <w:rsid w:val="004511F0"/>
    <w:rsid w:val="00466276"/>
    <w:rsid w:val="00472A2C"/>
    <w:rsid w:val="0047328D"/>
    <w:rsid w:val="004814D4"/>
    <w:rsid w:val="00484956"/>
    <w:rsid w:val="00490488"/>
    <w:rsid w:val="004908D8"/>
    <w:rsid w:val="004A66B5"/>
    <w:rsid w:val="004C4663"/>
    <w:rsid w:val="004D1153"/>
    <w:rsid w:val="004D26FF"/>
    <w:rsid w:val="004D2C05"/>
    <w:rsid w:val="004D65F9"/>
    <w:rsid w:val="004E3B1D"/>
    <w:rsid w:val="004E6C2D"/>
    <w:rsid w:val="004F1BD7"/>
    <w:rsid w:val="004F2BDB"/>
    <w:rsid w:val="004F2BDE"/>
    <w:rsid w:val="004F7332"/>
    <w:rsid w:val="00502A3D"/>
    <w:rsid w:val="005055C8"/>
    <w:rsid w:val="00507206"/>
    <w:rsid w:val="005133C9"/>
    <w:rsid w:val="005318CD"/>
    <w:rsid w:val="00536995"/>
    <w:rsid w:val="0053756B"/>
    <w:rsid w:val="00547036"/>
    <w:rsid w:val="00554E7E"/>
    <w:rsid w:val="00571CFF"/>
    <w:rsid w:val="00575C43"/>
    <w:rsid w:val="00581E26"/>
    <w:rsid w:val="005A4F48"/>
    <w:rsid w:val="005A5654"/>
    <w:rsid w:val="005C2B89"/>
    <w:rsid w:val="005D2D5E"/>
    <w:rsid w:val="005E228A"/>
    <w:rsid w:val="005E2ED5"/>
    <w:rsid w:val="005F4DFA"/>
    <w:rsid w:val="005F70B1"/>
    <w:rsid w:val="006007A6"/>
    <w:rsid w:val="006074AD"/>
    <w:rsid w:val="00617FA0"/>
    <w:rsid w:val="00633547"/>
    <w:rsid w:val="006416DC"/>
    <w:rsid w:val="0065439B"/>
    <w:rsid w:val="00655BAD"/>
    <w:rsid w:val="00655F00"/>
    <w:rsid w:val="00661F0D"/>
    <w:rsid w:val="00666C44"/>
    <w:rsid w:val="0067092F"/>
    <w:rsid w:val="00683F23"/>
    <w:rsid w:val="006941F7"/>
    <w:rsid w:val="006B4C7A"/>
    <w:rsid w:val="006B70C9"/>
    <w:rsid w:val="006C43F9"/>
    <w:rsid w:val="006C557A"/>
    <w:rsid w:val="006D01D4"/>
    <w:rsid w:val="006D13B7"/>
    <w:rsid w:val="006E7875"/>
    <w:rsid w:val="0070274F"/>
    <w:rsid w:val="007079A0"/>
    <w:rsid w:val="00710C38"/>
    <w:rsid w:val="0071276C"/>
    <w:rsid w:val="00731F19"/>
    <w:rsid w:val="007340ED"/>
    <w:rsid w:val="007403E4"/>
    <w:rsid w:val="00746071"/>
    <w:rsid w:val="00750BD7"/>
    <w:rsid w:val="007521AC"/>
    <w:rsid w:val="007524CB"/>
    <w:rsid w:val="00753DD2"/>
    <w:rsid w:val="007654E2"/>
    <w:rsid w:val="00770ED4"/>
    <w:rsid w:val="00771EF2"/>
    <w:rsid w:val="00775C04"/>
    <w:rsid w:val="00783D3C"/>
    <w:rsid w:val="007969C5"/>
    <w:rsid w:val="00796E6C"/>
    <w:rsid w:val="007B260C"/>
    <w:rsid w:val="007B5163"/>
    <w:rsid w:val="007C3F7F"/>
    <w:rsid w:val="007D566B"/>
    <w:rsid w:val="007E02DE"/>
    <w:rsid w:val="007E53B0"/>
    <w:rsid w:val="00805040"/>
    <w:rsid w:val="008110A1"/>
    <w:rsid w:val="00811300"/>
    <w:rsid w:val="0082126E"/>
    <w:rsid w:val="008229E4"/>
    <w:rsid w:val="00823414"/>
    <w:rsid w:val="00827E3A"/>
    <w:rsid w:val="00831189"/>
    <w:rsid w:val="00836674"/>
    <w:rsid w:val="0084073A"/>
    <w:rsid w:val="008548EA"/>
    <w:rsid w:val="00855631"/>
    <w:rsid w:val="00866198"/>
    <w:rsid w:val="00874E5D"/>
    <w:rsid w:val="00874EC8"/>
    <w:rsid w:val="008951DC"/>
    <w:rsid w:val="008C448F"/>
    <w:rsid w:val="008D0E99"/>
    <w:rsid w:val="008D7CA7"/>
    <w:rsid w:val="008E24AD"/>
    <w:rsid w:val="00900035"/>
    <w:rsid w:val="00902A3C"/>
    <w:rsid w:val="00903AB7"/>
    <w:rsid w:val="00921864"/>
    <w:rsid w:val="009218B4"/>
    <w:rsid w:val="00923C86"/>
    <w:rsid w:val="00936E31"/>
    <w:rsid w:val="00937BE9"/>
    <w:rsid w:val="00940265"/>
    <w:rsid w:val="0094173A"/>
    <w:rsid w:val="0096356A"/>
    <w:rsid w:val="00971156"/>
    <w:rsid w:val="00980698"/>
    <w:rsid w:val="00993AAE"/>
    <w:rsid w:val="00995F27"/>
    <w:rsid w:val="009A5E44"/>
    <w:rsid w:val="009B3316"/>
    <w:rsid w:val="009B42A4"/>
    <w:rsid w:val="009B60D1"/>
    <w:rsid w:val="009C02EE"/>
    <w:rsid w:val="009C07D2"/>
    <w:rsid w:val="009C5376"/>
    <w:rsid w:val="009D5C76"/>
    <w:rsid w:val="009E0E36"/>
    <w:rsid w:val="009E1489"/>
    <w:rsid w:val="009E604E"/>
    <w:rsid w:val="009F4655"/>
    <w:rsid w:val="00A042BE"/>
    <w:rsid w:val="00A12AF5"/>
    <w:rsid w:val="00A17582"/>
    <w:rsid w:val="00A2234A"/>
    <w:rsid w:val="00A259FB"/>
    <w:rsid w:val="00A26A9E"/>
    <w:rsid w:val="00A44B06"/>
    <w:rsid w:val="00A47C69"/>
    <w:rsid w:val="00A555C8"/>
    <w:rsid w:val="00A5624F"/>
    <w:rsid w:val="00A63244"/>
    <w:rsid w:val="00A648B7"/>
    <w:rsid w:val="00A7321F"/>
    <w:rsid w:val="00A73DC7"/>
    <w:rsid w:val="00A82C50"/>
    <w:rsid w:val="00A8433B"/>
    <w:rsid w:val="00A85433"/>
    <w:rsid w:val="00AA346A"/>
    <w:rsid w:val="00AA61B0"/>
    <w:rsid w:val="00AC3CED"/>
    <w:rsid w:val="00AD6ED8"/>
    <w:rsid w:val="00AE0538"/>
    <w:rsid w:val="00AE1F43"/>
    <w:rsid w:val="00AE1FAB"/>
    <w:rsid w:val="00AE73EA"/>
    <w:rsid w:val="00AF719A"/>
    <w:rsid w:val="00B00915"/>
    <w:rsid w:val="00B078D7"/>
    <w:rsid w:val="00B11035"/>
    <w:rsid w:val="00B16325"/>
    <w:rsid w:val="00B22897"/>
    <w:rsid w:val="00B338F7"/>
    <w:rsid w:val="00B45737"/>
    <w:rsid w:val="00B5114B"/>
    <w:rsid w:val="00B54073"/>
    <w:rsid w:val="00B74FCB"/>
    <w:rsid w:val="00B83E05"/>
    <w:rsid w:val="00B85DAC"/>
    <w:rsid w:val="00B9062B"/>
    <w:rsid w:val="00B950E7"/>
    <w:rsid w:val="00B97066"/>
    <w:rsid w:val="00BA4AAC"/>
    <w:rsid w:val="00BC5029"/>
    <w:rsid w:val="00BD1146"/>
    <w:rsid w:val="00BD5189"/>
    <w:rsid w:val="00BE0322"/>
    <w:rsid w:val="00BE606F"/>
    <w:rsid w:val="00BE66B6"/>
    <w:rsid w:val="00C06910"/>
    <w:rsid w:val="00C10133"/>
    <w:rsid w:val="00C14B67"/>
    <w:rsid w:val="00C25915"/>
    <w:rsid w:val="00C26211"/>
    <w:rsid w:val="00C311CE"/>
    <w:rsid w:val="00C35EA1"/>
    <w:rsid w:val="00C726C5"/>
    <w:rsid w:val="00C8305D"/>
    <w:rsid w:val="00C83903"/>
    <w:rsid w:val="00C84ADD"/>
    <w:rsid w:val="00C95E83"/>
    <w:rsid w:val="00CB2D5F"/>
    <w:rsid w:val="00CD36DB"/>
    <w:rsid w:val="00CD768B"/>
    <w:rsid w:val="00CE2638"/>
    <w:rsid w:val="00CE37B0"/>
    <w:rsid w:val="00CE51B3"/>
    <w:rsid w:val="00CE5DBC"/>
    <w:rsid w:val="00CF1A7C"/>
    <w:rsid w:val="00D01468"/>
    <w:rsid w:val="00D04924"/>
    <w:rsid w:val="00D318DC"/>
    <w:rsid w:val="00D419E3"/>
    <w:rsid w:val="00D44300"/>
    <w:rsid w:val="00D446F8"/>
    <w:rsid w:val="00D45A41"/>
    <w:rsid w:val="00D503D2"/>
    <w:rsid w:val="00D518E7"/>
    <w:rsid w:val="00D627DB"/>
    <w:rsid w:val="00D62DE1"/>
    <w:rsid w:val="00D67EE5"/>
    <w:rsid w:val="00D70D20"/>
    <w:rsid w:val="00D80A02"/>
    <w:rsid w:val="00D81B1D"/>
    <w:rsid w:val="00D820A4"/>
    <w:rsid w:val="00D8624E"/>
    <w:rsid w:val="00D94C79"/>
    <w:rsid w:val="00D95A61"/>
    <w:rsid w:val="00D96B5A"/>
    <w:rsid w:val="00DA7173"/>
    <w:rsid w:val="00DB09AF"/>
    <w:rsid w:val="00DB2F82"/>
    <w:rsid w:val="00DB5719"/>
    <w:rsid w:val="00DE0E01"/>
    <w:rsid w:val="00DE5055"/>
    <w:rsid w:val="00DE64A6"/>
    <w:rsid w:val="00DF139E"/>
    <w:rsid w:val="00DF1F8C"/>
    <w:rsid w:val="00DF3466"/>
    <w:rsid w:val="00E01E28"/>
    <w:rsid w:val="00E04B65"/>
    <w:rsid w:val="00E15E11"/>
    <w:rsid w:val="00E16B80"/>
    <w:rsid w:val="00E20005"/>
    <w:rsid w:val="00E26468"/>
    <w:rsid w:val="00E51C78"/>
    <w:rsid w:val="00E56969"/>
    <w:rsid w:val="00E5781B"/>
    <w:rsid w:val="00E601A3"/>
    <w:rsid w:val="00E855A5"/>
    <w:rsid w:val="00E90FEE"/>
    <w:rsid w:val="00E92743"/>
    <w:rsid w:val="00E940AA"/>
    <w:rsid w:val="00E95B4A"/>
    <w:rsid w:val="00E97987"/>
    <w:rsid w:val="00EA1B34"/>
    <w:rsid w:val="00EA4D99"/>
    <w:rsid w:val="00EC0064"/>
    <w:rsid w:val="00EC0099"/>
    <w:rsid w:val="00EC2C64"/>
    <w:rsid w:val="00ED0A1C"/>
    <w:rsid w:val="00EE37A0"/>
    <w:rsid w:val="00EF15C1"/>
    <w:rsid w:val="00EF27FC"/>
    <w:rsid w:val="00EF79C1"/>
    <w:rsid w:val="00F03C33"/>
    <w:rsid w:val="00F22031"/>
    <w:rsid w:val="00F85FBA"/>
    <w:rsid w:val="00F86D83"/>
    <w:rsid w:val="00F9422A"/>
    <w:rsid w:val="00F96050"/>
    <w:rsid w:val="00FA075B"/>
    <w:rsid w:val="00FA4886"/>
    <w:rsid w:val="00FB3C25"/>
    <w:rsid w:val="00FC0C03"/>
    <w:rsid w:val="00FC2792"/>
    <w:rsid w:val="00FC5075"/>
    <w:rsid w:val="00FC5603"/>
    <w:rsid w:val="00FC67A2"/>
    <w:rsid w:val="00FC7DC3"/>
    <w:rsid w:val="00FD383E"/>
    <w:rsid w:val="00FF5AC6"/>
    <w:rsid w:val="30FE48F6"/>
    <w:rsid w:val="4E534C42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ody Text"/>
    <w:basedOn w:val="1"/>
    <w:uiPriority w:val="0"/>
    <w:pPr>
      <w:jc w:val="center"/>
    </w:pPr>
    <w:rPr>
      <w:rFonts w:ascii="仿宋_GB2312" w:eastAsia="仿宋_GB2312"/>
      <w:szCs w:val="20"/>
    </w:rPr>
  </w:style>
  <w:style w:type="paragraph" w:styleId="3">
    <w:name w:val="Body Text Indent"/>
    <w:basedOn w:val="1"/>
    <w:uiPriority w:val="0"/>
    <w:pPr>
      <w:spacing w:after="120"/>
      <w:ind w:left="420" w:leftChars="200"/>
    </w:pPr>
  </w:style>
  <w:style w:type="paragraph" w:styleId="4">
    <w:name w:val="Plain Text"/>
    <w:basedOn w:val="1"/>
    <w:uiPriority w:val="0"/>
    <w:rPr>
      <w:rFonts w:ascii="宋体" w:hAnsi="Courier New" w:cs="Courier New"/>
      <w:szCs w:val="21"/>
    </w:rPr>
  </w:style>
  <w:style w:type="paragraph" w:styleId="5">
    <w:name w:val="Balloon Text"/>
    <w:basedOn w:val="1"/>
    <w:semiHidden/>
    <w:uiPriority w:val="0"/>
    <w:rPr>
      <w:sz w:val="18"/>
      <w:szCs w:val="18"/>
    </w:rPr>
  </w:style>
  <w:style w:type="paragraph" w:styleId="6">
    <w:name w:val="footer"/>
    <w:basedOn w:val="1"/>
    <w:link w:val="21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2"/>
    <w:basedOn w:val="1"/>
    <w:uiPriority w:val="0"/>
    <w:pPr>
      <w:spacing w:line="360" w:lineRule="auto"/>
    </w:pPr>
    <w:rPr>
      <w:rFonts w:ascii="宋体"/>
      <w:sz w:val="28"/>
      <w:szCs w:val="20"/>
    </w:rPr>
  </w:style>
  <w:style w:type="paragraph" w:styleId="9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1">
    <w:name w:val="Strong"/>
    <w:basedOn w:val="10"/>
    <w:qFormat/>
    <w:uiPriority w:val="0"/>
    <w:rPr>
      <w:b/>
      <w:bCs/>
    </w:rPr>
  </w:style>
  <w:style w:type="character" w:styleId="12">
    <w:name w:val="page number"/>
    <w:basedOn w:val="10"/>
    <w:uiPriority w:val="0"/>
    <w:rPr/>
  </w:style>
  <w:style w:type="table" w:styleId="14">
    <w:name w:val="Table Grid"/>
    <w:basedOn w:val="13"/>
    <w:uiPriority w:val="0"/>
    <w:pPr>
      <w:widowControl w:val="0"/>
      <w:jc w:val="both"/>
    </w:pPr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段"/>
    <w:link w:val="22"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6">
    <w:name w:val="Char"/>
    <w:basedOn w:val="1"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0"/>
      <w:lang w:eastAsia="en-US"/>
    </w:rPr>
  </w:style>
  <w:style w:type="paragraph" w:customStyle="1" w:styleId="17">
    <w:name w:val="封面标准文稿编辑信息"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8">
    <w:name w:val="Char1"/>
    <w:basedOn w:val="1"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9">
    <w:name w:val="Char Char Char Char Char Char"/>
    <w:basedOn w:val="1"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0"/>
      <w:lang w:eastAsia="en-US"/>
    </w:rPr>
  </w:style>
  <w:style w:type="paragraph" w:customStyle="1" w:styleId="20">
    <w:name w:val="Char Char Char"/>
    <w:basedOn w:val="1"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0"/>
      <w:lang w:eastAsia="en-US"/>
    </w:rPr>
  </w:style>
  <w:style w:type="character" w:customStyle="1" w:styleId="21">
    <w:name w:val="页脚 Char"/>
    <w:basedOn w:val="10"/>
    <w:link w:val="6"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2">
    <w:name w:val="段 Char"/>
    <w:basedOn w:val="10"/>
    <w:link w:val="15"/>
    <w:uiPriority w:val="0"/>
    <w:rPr>
      <w:rFonts w:ascii="宋体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268</Words>
  <Characters>1531</Characters>
  <Lines>12</Lines>
  <Paragraphs>3</Paragraphs>
  <TotalTime>0</TotalTime>
  <ScaleCrop>false</ScaleCrop>
  <LinksUpToDate>false</LinksUpToDate>
  <CharactersWithSpaces>0</CharactersWithSpaces>
  <Application>WPS Office_9.1.0.5132_F1E327BC-269C-435d-A152-05C5408002CA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2015-07-14T06:21:00Z</dcterms:created>
  <dc:creator>lenovo</dc:creator>
  <cp:lastModifiedBy>崔少宁</cp:lastModifiedBy>
  <cp:lastPrinted>2015-01-21T07:16:00Z</cp:lastPrinted>
  <dcterms:modified xsi:type="dcterms:W3CDTF">2015-07-14T06:43:11Z</dcterms:modified>
  <dc:title>关于建议开展水稻插秧机质量调查工作的函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